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8E" w:rsidRDefault="0039488E" w:rsidP="00A569A0">
      <w:pPr>
        <w:pStyle w:val="cjk"/>
        <w:spacing w:before="159" w:beforeAutospacing="0" w:after="240" w:line="440" w:lineRule="exact"/>
        <w:jc w:val="center"/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勞工保險</w:t>
      </w:r>
      <w:r>
        <w:rPr>
          <w:rFonts w:ascii="標楷體" w:eastAsia="標楷體" w:hAnsi="標楷體" w:hint="eastAsia"/>
          <w:b/>
          <w:bCs/>
          <w:sz w:val="32"/>
          <w:szCs w:val="32"/>
        </w:rPr>
        <w:t>投保（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勞工退休金</w:t>
      </w:r>
      <w:r>
        <w:rPr>
          <w:rFonts w:ascii="標楷體" w:eastAsia="標楷體" w:hAnsi="標楷體" w:hint="eastAsia"/>
          <w:b/>
          <w:bCs/>
          <w:sz w:val="32"/>
          <w:szCs w:val="32"/>
        </w:rPr>
        <w:t>提繳）單位委託金融機構轉帳代繳保險費（勞工退休金）辦理須知</w:t>
      </w:r>
    </w:p>
    <w:p w:rsidR="0039488E" w:rsidRDefault="0039488E" w:rsidP="00960247">
      <w:pPr>
        <w:pStyle w:val="cjk"/>
        <w:numPr>
          <w:ilvl w:val="0"/>
          <w:numId w:val="1"/>
        </w:numPr>
        <w:tabs>
          <w:tab w:val="clear" w:pos="603"/>
          <w:tab w:val="num" w:pos="709"/>
        </w:tabs>
        <w:spacing w:before="159" w:beforeAutospacing="0" w:after="159" w:line="440" w:lineRule="exact"/>
        <w:ind w:left="709" w:hanging="567"/>
      </w:pPr>
      <w:r>
        <w:rPr>
          <w:rFonts w:ascii="標楷體" w:eastAsia="標楷體" w:hAnsi="標楷體" w:hint="eastAsia"/>
          <w:sz w:val="28"/>
          <w:szCs w:val="28"/>
        </w:rPr>
        <w:t>投保(提繳)單位辦理委託金融機構轉帳代繳保險費(勞工退休金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，應攜帶金融機構開戶印鑑及繳款單或收據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影本至勞動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部勞工保險局(以下簡稱勞保局)指定之金融機構填寫「勞工保險投保（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勞工退休金</w:t>
      </w:r>
      <w:r>
        <w:rPr>
          <w:rFonts w:ascii="標楷體" w:eastAsia="標楷體" w:hAnsi="標楷體" w:hint="eastAsia"/>
          <w:sz w:val="28"/>
          <w:szCs w:val="28"/>
        </w:rPr>
        <w:t>提繳）單位委託轉帳代繳保險費或（及）勞工退休金約定書」，辦理申請手續。</w:t>
      </w:r>
    </w:p>
    <w:p w:rsidR="0039488E" w:rsidRPr="0078243F" w:rsidRDefault="0039488E" w:rsidP="00960247">
      <w:pPr>
        <w:pStyle w:val="cjk"/>
        <w:numPr>
          <w:ilvl w:val="0"/>
          <w:numId w:val="1"/>
        </w:numPr>
        <w:tabs>
          <w:tab w:val="clear" w:pos="603"/>
          <w:tab w:val="num" w:pos="709"/>
        </w:tabs>
        <w:spacing w:before="159" w:beforeAutospacing="0" w:after="159" w:line="440" w:lineRule="exact"/>
        <w:ind w:left="709" w:hanging="567"/>
        <w:rPr>
          <w:rFonts w:ascii="標楷體" w:eastAsia="標楷體" w:hAnsi="標楷體"/>
          <w:b/>
          <w:sz w:val="28"/>
          <w:szCs w:val="28"/>
        </w:rPr>
      </w:pPr>
      <w:r w:rsidRPr="00960247">
        <w:rPr>
          <w:rFonts w:ascii="標楷體" w:eastAsia="標楷體" w:hAnsi="標楷體" w:hint="eastAsia"/>
          <w:sz w:val="28"/>
          <w:szCs w:val="28"/>
        </w:rPr>
        <w:t>目</w:t>
      </w:r>
      <w:r w:rsidRPr="0078243F">
        <w:rPr>
          <w:rFonts w:ascii="標楷體" w:eastAsia="標楷體" w:hAnsi="標楷體" w:hint="eastAsia"/>
          <w:sz w:val="28"/>
          <w:szCs w:val="28"/>
        </w:rPr>
        <w:t>前與勞保局簽約辦理轉帳代繳保險費與勞工退休金之金融機構計有：臺灣銀行、臺灣土地銀行、合作金庫商業銀行、台北富邦商業銀行、兆豐國際商業銀行、臺灣中小企業銀行、華南商業銀行、第一商業銀行、彰化商業銀行、高雄銀行、中華郵政股份有限公司</w:t>
      </w:r>
      <w:r w:rsidR="00555E02">
        <w:rPr>
          <w:rFonts w:ascii="標楷體" w:eastAsia="標楷體" w:hAnsi="標楷體" w:hint="eastAsia"/>
          <w:sz w:val="28"/>
          <w:szCs w:val="28"/>
        </w:rPr>
        <w:t>、玉山商業銀行、台新國際商業銀行、中國信託商業銀行</w:t>
      </w:r>
      <w:r w:rsidRPr="0078243F">
        <w:rPr>
          <w:rFonts w:ascii="標楷體" w:eastAsia="標楷體" w:hAnsi="標楷體" w:hint="eastAsia"/>
          <w:sz w:val="28"/>
          <w:szCs w:val="28"/>
        </w:rPr>
        <w:t>、聯邦商業銀行、三信商業銀行、台中商業銀行、華泰商業銀行、陽信商業銀行、板信商業銀行、上海商業儲蓄銀行、</w:t>
      </w:r>
      <w:proofErr w:type="gramStart"/>
      <w:r w:rsidRPr="0078243F">
        <w:rPr>
          <w:rFonts w:ascii="標楷體" w:eastAsia="標楷體" w:hAnsi="標楷體" w:hint="eastAsia"/>
          <w:sz w:val="28"/>
          <w:szCs w:val="28"/>
        </w:rPr>
        <w:t>凱</w:t>
      </w:r>
      <w:proofErr w:type="gramEnd"/>
      <w:r w:rsidRPr="0078243F">
        <w:rPr>
          <w:rFonts w:ascii="標楷體" w:eastAsia="標楷體" w:hAnsi="標楷體" w:hint="eastAsia"/>
          <w:sz w:val="28"/>
          <w:szCs w:val="28"/>
        </w:rPr>
        <w:t>基商業銀行、永豐商業銀行、京城商業銀行、國泰</w:t>
      </w:r>
      <w:proofErr w:type="gramStart"/>
      <w:r w:rsidRPr="0078243F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78243F">
        <w:rPr>
          <w:rFonts w:ascii="標楷體" w:eastAsia="標楷體" w:hAnsi="標楷體" w:hint="eastAsia"/>
          <w:sz w:val="28"/>
          <w:szCs w:val="28"/>
        </w:rPr>
        <w:t>華商業銀行、瑞興商業銀行、臺灣新光商業銀行、元大商業銀行、台北五信、基隆</w:t>
      </w:r>
      <w:proofErr w:type="gramStart"/>
      <w:r w:rsidRPr="0078243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243F">
        <w:rPr>
          <w:rFonts w:ascii="標楷體" w:eastAsia="標楷體" w:hAnsi="標楷體" w:hint="eastAsia"/>
          <w:sz w:val="28"/>
          <w:szCs w:val="28"/>
        </w:rPr>
        <w:t>信、基隆二信、淡水</w:t>
      </w:r>
      <w:proofErr w:type="gramStart"/>
      <w:r w:rsidRPr="0078243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243F">
        <w:rPr>
          <w:rFonts w:ascii="標楷體" w:eastAsia="標楷體" w:hAnsi="標楷體" w:hint="eastAsia"/>
          <w:sz w:val="28"/>
          <w:szCs w:val="28"/>
        </w:rPr>
        <w:t>信、淡水信用、宜蘭信合社、桃園信合社、新竹</w:t>
      </w:r>
      <w:proofErr w:type="gramStart"/>
      <w:r w:rsidRPr="0078243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243F">
        <w:rPr>
          <w:rFonts w:ascii="標楷體" w:eastAsia="標楷體" w:hAnsi="標楷體" w:hint="eastAsia"/>
          <w:sz w:val="28"/>
          <w:szCs w:val="28"/>
        </w:rPr>
        <w:t>信、新竹三信、台中二信、彰化</w:t>
      </w:r>
      <w:proofErr w:type="gramStart"/>
      <w:r w:rsidRPr="0078243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243F">
        <w:rPr>
          <w:rFonts w:ascii="標楷體" w:eastAsia="標楷體" w:hAnsi="標楷體" w:hint="eastAsia"/>
          <w:sz w:val="28"/>
          <w:szCs w:val="28"/>
        </w:rPr>
        <w:t>信、彰化五信、彰化六信、彰化十信、鹿港信合社、嘉義三信、高雄三信、花蓮</w:t>
      </w:r>
      <w:proofErr w:type="gramStart"/>
      <w:r w:rsidRPr="0078243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243F">
        <w:rPr>
          <w:rFonts w:ascii="標楷體" w:eastAsia="標楷體" w:hAnsi="標楷體" w:hint="eastAsia"/>
          <w:sz w:val="28"/>
          <w:szCs w:val="28"/>
        </w:rPr>
        <w:t>信及花蓮二信等。</w:t>
      </w:r>
      <w:proofErr w:type="gramStart"/>
      <w:r w:rsidR="00BC1C5B" w:rsidRPr="0078243F">
        <w:rPr>
          <w:rFonts w:ascii="標楷體" w:eastAsia="標楷體" w:hAnsi="標楷體" w:hint="eastAsia"/>
          <w:b/>
          <w:sz w:val="28"/>
          <w:szCs w:val="28"/>
        </w:rPr>
        <w:t>另渣打</w:t>
      </w:r>
      <w:proofErr w:type="gramEnd"/>
      <w:r w:rsidR="00BC1C5B" w:rsidRPr="0078243F">
        <w:rPr>
          <w:rFonts w:ascii="標楷體" w:eastAsia="標楷體" w:hAnsi="標楷體" w:hint="eastAsia"/>
          <w:b/>
          <w:sz w:val="28"/>
          <w:szCs w:val="28"/>
        </w:rPr>
        <w:t>國際商業銀行僅</w:t>
      </w:r>
      <w:r w:rsidRPr="0078243F">
        <w:rPr>
          <w:rFonts w:ascii="標楷體" w:eastAsia="標楷體" w:hAnsi="標楷體" w:hint="eastAsia"/>
          <w:b/>
          <w:sz w:val="28"/>
          <w:szCs w:val="28"/>
        </w:rPr>
        <w:t>辦理轉帳代繳</w:t>
      </w:r>
      <w:r w:rsidRPr="0078243F">
        <w:rPr>
          <w:rFonts w:ascii="標楷體" w:eastAsia="標楷體" w:hAnsi="標楷體" w:hint="eastAsia"/>
          <w:b/>
          <w:sz w:val="28"/>
          <w:szCs w:val="28"/>
          <w:u w:val="single"/>
        </w:rPr>
        <w:t>保險費</w:t>
      </w:r>
      <w:r w:rsidRPr="0078243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9488E" w:rsidRPr="00960247" w:rsidRDefault="0039488E" w:rsidP="00960247">
      <w:pPr>
        <w:pStyle w:val="cjk"/>
        <w:numPr>
          <w:ilvl w:val="0"/>
          <w:numId w:val="1"/>
        </w:numPr>
        <w:tabs>
          <w:tab w:val="clear" w:pos="603"/>
          <w:tab w:val="num" w:pos="709"/>
        </w:tabs>
        <w:spacing w:before="159" w:beforeAutospacing="0" w:after="159" w:line="44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78243F">
        <w:rPr>
          <w:rFonts w:ascii="標楷體" w:eastAsia="標楷體" w:hAnsi="標楷體" w:hint="eastAsia"/>
          <w:sz w:val="28"/>
          <w:szCs w:val="28"/>
        </w:rPr>
        <w:t>本約定書於投保（提繳）單位以同一帳戶申請轉帳代繳保險</w:t>
      </w:r>
      <w:r>
        <w:rPr>
          <w:rFonts w:ascii="標楷體" w:eastAsia="標楷體" w:hAnsi="標楷體" w:hint="eastAsia"/>
          <w:sz w:val="28"/>
          <w:szCs w:val="28"/>
        </w:rPr>
        <w:t>費及勞工退休金時，金融機構將依先扣繳保險費、再扣繳勞工退休金之順序執行作業；投保（提繳）單位如欲以不同帳戶分別申請轉帳代繳保險費及勞工退休金時，應填列二份約定書辦理申請手續。</w:t>
      </w:r>
    </w:p>
    <w:p w:rsidR="0039488E" w:rsidRPr="00960247" w:rsidRDefault="0039488E" w:rsidP="00960247">
      <w:pPr>
        <w:pStyle w:val="cjk"/>
        <w:numPr>
          <w:ilvl w:val="0"/>
          <w:numId w:val="1"/>
        </w:numPr>
        <w:tabs>
          <w:tab w:val="clear" w:pos="603"/>
          <w:tab w:val="num" w:pos="709"/>
        </w:tabs>
        <w:spacing w:before="159" w:beforeAutospacing="0" w:after="159" w:line="440" w:lineRule="exac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投保（提繳）單位申請轉帳代繳勞工退休金，如同時申報雇主提繳及個人自願提繳退休金時，需由同一帳戶轉帳代繳。</w:t>
      </w:r>
    </w:p>
    <w:p w:rsidR="0039488E" w:rsidRPr="00BC1C5B" w:rsidRDefault="0039488E" w:rsidP="00B37DB1">
      <w:pPr>
        <w:pStyle w:val="cjk"/>
        <w:numPr>
          <w:ilvl w:val="0"/>
          <w:numId w:val="1"/>
        </w:numPr>
        <w:spacing w:before="159" w:beforeAutospacing="0" w:after="159"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25E81">
        <w:rPr>
          <w:rFonts w:ascii="標楷體" w:eastAsia="標楷體" w:hAnsi="標楷體" w:hint="eastAsia"/>
          <w:sz w:val="28"/>
          <w:szCs w:val="28"/>
        </w:rPr>
        <w:t>填寫約定書時，投保（提繳）單位應填寫之保險證字號（提繳單位編號）共有九碼，即依繳款單上保險證號（提繳單位編號首碼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Ｐ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不必填寫）八位數字加一位英文字檢查碼填寫，並正確填寫公司名稱、營利事業統一編號或單位負責人身分證字號及電話，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便業務聯絡。</w:t>
      </w:r>
      <w:r w:rsidRPr="00BC1C5B">
        <w:rPr>
          <w:rFonts w:ascii="標楷體" w:eastAsia="標楷體" w:hAnsi="標楷體" w:hint="eastAsia"/>
          <w:b/>
          <w:sz w:val="28"/>
          <w:szCs w:val="28"/>
          <w:u w:val="single"/>
        </w:rPr>
        <w:t>育嬰續保者，請填寫身分證字號、被保險人姓名及電話。</w:t>
      </w:r>
      <w:r w:rsidR="00B37DB1" w:rsidRPr="00BC1C5B">
        <w:rPr>
          <w:rFonts w:ascii="標楷體" w:eastAsia="標楷體" w:hAnsi="標楷體" w:hint="eastAsia"/>
          <w:b/>
          <w:sz w:val="28"/>
          <w:szCs w:val="28"/>
          <w:u w:val="single"/>
        </w:rPr>
        <w:t>本國/外籍看護幫</w:t>
      </w:r>
      <w:proofErr w:type="gramStart"/>
      <w:r w:rsidR="00B37DB1" w:rsidRPr="00BC1C5B">
        <w:rPr>
          <w:rFonts w:ascii="標楷體" w:eastAsia="標楷體" w:hAnsi="標楷體" w:hint="eastAsia"/>
          <w:b/>
          <w:sz w:val="28"/>
          <w:szCs w:val="28"/>
          <w:u w:val="single"/>
        </w:rPr>
        <w:t>傭</w:t>
      </w:r>
      <w:proofErr w:type="gramEnd"/>
      <w:r w:rsidR="00B37DB1" w:rsidRPr="00BC1C5B">
        <w:rPr>
          <w:rFonts w:ascii="標楷體" w:eastAsia="標楷體" w:hAnsi="標楷體" w:hint="eastAsia"/>
          <w:b/>
          <w:sz w:val="28"/>
          <w:szCs w:val="28"/>
          <w:u w:val="single"/>
        </w:rPr>
        <w:t>之雇主，請填寫雇主之身分證字號、姓名及電話。</w:t>
      </w:r>
    </w:p>
    <w:p w:rsidR="0039488E" w:rsidRPr="00325E81" w:rsidRDefault="0039488E" w:rsidP="00960247">
      <w:pPr>
        <w:pStyle w:val="cjk"/>
        <w:numPr>
          <w:ilvl w:val="0"/>
          <w:numId w:val="1"/>
        </w:numPr>
        <w:tabs>
          <w:tab w:val="clear" w:pos="603"/>
          <w:tab w:val="num" w:pos="709"/>
        </w:tabs>
        <w:spacing w:before="159" w:beforeAutospacing="0" w:after="159" w:line="44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325E81">
        <w:rPr>
          <w:rFonts w:ascii="標楷體" w:eastAsia="標楷體" w:hAnsi="標楷體" w:hint="eastAsia"/>
          <w:sz w:val="28"/>
          <w:szCs w:val="28"/>
        </w:rPr>
        <w:lastRenderedPageBreak/>
        <w:t>辦理轉帳代繳保險費（勞工退休金）手續完備後，勞保局將寄發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通知函列明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保險費（勞工退休金）開始轉帳扣繳之月份，至於通知扣繳前之各月份保險費（勞工退休金）仍應由投保（提繳）單位自行繳納。</w:t>
      </w:r>
    </w:p>
    <w:p w:rsidR="0039488E" w:rsidRPr="00325E81" w:rsidRDefault="0039488E" w:rsidP="00960247">
      <w:pPr>
        <w:pStyle w:val="cjk"/>
        <w:numPr>
          <w:ilvl w:val="0"/>
          <w:numId w:val="1"/>
        </w:numPr>
        <w:tabs>
          <w:tab w:val="clear" w:pos="603"/>
          <w:tab w:val="num" w:pos="709"/>
        </w:tabs>
        <w:spacing w:before="159" w:beforeAutospacing="0" w:after="159" w:line="44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325E81">
        <w:rPr>
          <w:rFonts w:ascii="標楷體" w:eastAsia="標楷體" w:hAnsi="標楷體" w:hint="eastAsia"/>
          <w:sz w:val="28"/>
          <w:szCs w:val="28"/>
        </w:rPr>
        <w:t>若欲變更原申請金融機構帳號，請至原金融機構辦理終止帳號之手續，再辦理新帳號之申請手續</w:t>
      </w:r>
      <w:r w:rsidR="008A6556" w:rsidRPr="00325E81">
        <w:rPr>
          <w:rFonts w:ascii="標楷體" w:eastAsia="標楷體" w:hAnsi="標楷體" w:hint="eastAsia"/>
          <w:sz w:val="28"/>
          <w:szCs w:val="28"/>
        </w:rPr>
        <w:t>，請留意註銷後之轉帳約定</w:t>
      </w:r>
      <w:proofErr w:type="gramStart"/>
      <w:r w:rsidR="008A6556" w:rsidRPr="00325E81">
        <w:rPr>
          <w:rFonts w:ascii="標楷體" w:eastAsia="標楷體" w:hAnsi="標楷體" w:hint="eastAsia"/>
          <w:sz w:val="28"/>
          <w:szCs w:val="28"/>
        </w:rPr>
        <w:t>空窗期</w:t>
      </w:r>
      <w:proofErr w:type="gramEnd"/>
      <w:r w:rsidR="008A6556" w:rsidRPr="00325E81">
        <w:rPr>
          <w:rFonts w:ascii="標楷體" w:eastAsia="標楷體" w:hAnsi="標楷體" w:hint="eastAsia"/>
          <w:sz w:val="28"/>
          <w:szCs w:val="28"/>
        </w:rPr>
        <w:t>，新約定未辦理成功前仍應</w:t>
      </w:r>
      <w:proofErr w:type="gramStart"/>
      <w:r w:rsidR="008A6556" w:rsidRPr="00325E81">
        <w:rPr>
          <w:rFonts w:ascii="標楷體" w:eastAsia="標楷體" w:hAnsi="標楷體" w:hint="eastAsia"/>
          <w:sz w:val="28"/>
          <w:szCs w:val="28"/>
        </w:rPr>
        <w:t>自行持單繳納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。</w:t>
      </w:r>
    </w:p>
    <w:p w:rsidR="0039488E" w:rsidRPr="00325E81" w:rsidRDefault="0039488E" w:rsidP="00B37DB1">
      <w:pPr>
        <w:pStyle w:val="cjk"/>
        <w:numPr>
          <w:ilvl w:val="0"/>
          <w:numId w:val="1"/>
        </w:numPr>
        <w:spacing w:before="159" w:beforeAutospacing="0" w:after="159" w:line="440" w:lineRule="exact"/>
        <w:rPr>
          <w:rFonts w:ascii="標楷體" w:eastAsia="標楷體" w:hAnsi="標楷體"/>
          <w:sz w:val="28"/>
          <w:szCs w:val="28"/>
        </w:rPr>
      </w:pPr>
      <w:r w:rsidRPr="00325E81">
        <w:rPr>
          <w:rFonts w:ascii="標楷體" w:eastAsia="標楷體" w:hAnsi="標楷體" w:hint="eastAsia"/>
          <w:sz w:val="28"/>
          <w:szCs w:val="28"/>
        </w:rPr>
        <w:t>勞保局為使投保（提繳）單位瞭解各月份應繳納保險費（勞工退休金）金額、計算明細及轉帳扣繳日期，按月仍寄發各月份保險費（勞工退休金）繳款單（網路申辦單位、以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人為單位之裁減、職災及育嬰續保人員</w:t>
      </w:r>
      <w:r w:rsidR="00B37DB1" w:rsidRPr="00325E81">
        <w:rPr>
          <w:rFonts w:ascii="標楷體" w:eastAsia="標楷體" w:hAnsi="標楷體" w:hint="eastAsia"/>
          <w:sz w:val="28"/>
          <w:szCs w:val="28"/>
        </w:rPr>
        <w:t>與本國/外籍看護幫</w:t>
      </w:r>
      <w:proofErr w:type="gramStart"/>
      <w:r w:rsidR="00B37DB1" w:rsidRPr="00325E81">
        <w:rPr>
          <w:rFonts w:ascii="標楷體" w:eastAsia="標楷體" w:hAnsi="標楷體" w:hint="eastAsia"/>
          <w:sz w:val="28"/>
          <w:szCs w:val="28"/>
        </w:rPr>
        <w:t>傭</w:t>
      </w:r>
      <w:proofErr w:type="gramEnd"/>
      <w:r w:rsidR="00B37DB1" w:rsidRPr="00325E81">
        <w:rPr>
          <w:rFonts w:ascii="標楷體" w:eastAsia="標楷體" w:hAnsi="標楷體" w:hint="eastAsia"/>
          <w:sz w:val="28"/>
          <w:szCs w:val="28"/>
        </w:rPr>
        <w:t>之雇主</w:t>
      </w:r>
      <w:r w:rsidRPr="00325E81">
        <w:rPr>
          <w:rFonts w:ascii="標楷體" w:eastAsia="標楷體" w:hAnsi="標楷體" w:hint="eastAsia"/>
          <w:sz w:val="28"/>
          <w:szCs w:val="28"/>
        </w:rPr>
        <w:t>除外）。</w:t>
      </w:r>
    </w:p>
    <w:p w:rsidR="0039488E" w:rsidRPr="00325E81" w:rsidRDefault="0039488E" w:rsidP="00960247">
      <w:pPr>
        <w:pStyle w:val="cjk"/>
        <w:numPr>
          <w:ilvl w:val="0"/>
          <w:numId w:val="1"/>
        </w:numPr>
        <w:tabs>
          <w:tab w:val="clear" w:pos="603"/>
          <w:tab w:val="num" w:pos="709"/>
        </w:tabs>
        <w:spacing w:before="159" w:beforeAutospacing="0" w:after="159" w:line="44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325E81">
        <w:rPr>
          <w:rFonts w:ascii="標楷體" w:eastAsia="標楷體" w:hAnsi="標楷體" w:hint="eastAsia"/>
          <w:sz w:val="28"/>
          <w:szCs w:val="28"/>
        </w:rPr>
        <w:t>投保（提繳）單位辦理轉帳代繳保險費（勞工退休金）後，應於每月月底在帳戶內備足存款，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金融機構扣帳處理；若投保（提繳）單位存款不足無法扣帳，投保（提繳）單位須於次月14日金融機構營業時間結束前備足存款，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金融機構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第二次扣帳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處理。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第二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次扣帳仍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無法扣繳者，投保（提繳）單位則需自行持保險費（勞工退休金）繳款單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至各代收機構繳納。</w:t>
      </w:r>
    </w:p>
    <w:p w:rsidR="00A30C43" w:rsidRPr="00325E81" w:rsidRDefault="0039488E" w:rsidP="00B37DB1">
      <w:pPr>
        <w:pStyle w:val="cjk"/>
        <w:numPr>
          <w:ilvl w:val="0"/>
          <w:numId w:val="1"/>
        </w:numPr>
        <w:spacing w:before="159" w:beforeAutospacing="0" w:after="159" w:line="440" w:lineRule="exact"/>
        <w:rPr>
          <w:rFonts w:ascii="標楷體" w:eastAsia="標楷體" w:hAnsi="標楷體"/>
          <w:sz w:val="28"/>
          <w:szCs w:val="28"/>
        </w:rPr>
      </w:pPr>
      <w:r w:rsidRPr="00325E81">
        <w:rPr>
          <w:rFonts w:ascii="標楷體" w:eastAsia="標楷體" w:hAnsi="標楷體" w:hint="eastAsia"/>
          <w:sz w:val="28"/>
          <w:szCs w:val="28"/>
        </w:rPr>
        <w:t>保險費（勞工退休金）經金融機構轉帳繳款成功後，勞保局會另製發收據給各投保（提繳）單位（網路申辦單位、以個人為單位之裁減</w:t>
      </w:r>
      <w:r w:rsidR="008A6556" w:rsidRPr="00325E81">
        <w:rPr>
          <w:rFonts w:ascii="標楷體" w:eastAsia="標楷體" w:hAnsi="標楷體" w:hint="eastAsia"/>
          <w:sz w:val="28"/>
          <w:szCs w:val="28"/>
        </w:rPr>
        <w:t>、</w:t>
      </w:r>
      <w:r w:rsidRPr="00325E81">
        <w:rPr>
          <w:rFonts w:ascii="標楷體" w:eastAsia="標楷體" w:hAnsi="標楷體" w:hint="eastAsia"/>
          <w:sz w:val="28"/>
          <w:szCs w:val="28"/>
        </w:rPr>
        <w:t>職災續保</w:t>
      </w:r>
      <w:r w:rsidR="008A6556" w:rsidRPr="00325E81">
        <w:rPr>
          <w:rFonts w:ascii="標楷體" w:eastAsia="標楷體" w:hAnsi="標楷體" w:hint="eastAsia"/>
          <w:sz w:val="28"/>
          <w:szCs w:val="28"/>
        </w:rPr>
        <w:t>及</w:t>
      </w:r>
      <w:r w:rsidR="00B37DB1" w:rsidRPr="00325E81">
        <w:rPr>
          <w:rFonts w:ascii="標楷體" w:eastAsia="標楷體" w:hAnsi="標楷體" w:hint="eastAsia"/>
          <w:sz w:val="28"/>
          <w:szCs w:val="28"/>
        </w:rPr>
        <w:t>本國/外籍看護幫傭之雇主</w:t>
      </w:r>
      <w:r w:rsidRPr="00325E81">
        <w:rPr>
          <w:rFonts w:ascii="標楷體" w:eastAsia="標楷體" w:hAnsi="標楷體" w:hint="eastAsia"/>
          <w:sz w:val="28"/>
          <w:szCs w:val="28"/>
        </w:rPr>
        <w:t>除外）以為作帳憑證。另不再收到本局寄發轉帳代繳收據者，請多利用本局「e化服務系統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25E81">
        <w:rPr>
          <w:rFonts w:ascii="標楷體" w:eastAsia="標楷體" w:hAnsi="標楷體"/>
          <w:sz w:val="28"/>
          <w:szCs w:val="28"/>
        </w:rPr>
        <w:fldChar w:fldCharType="begin"/>
      </w:r>
      <w:r w:rsidRPr="00325E81">
        <w:rPr>
          <w:rFonts w:ascii="標楷體" w:eastAsia="標楷體" w:hAnsi="標楷體"/>
          <w:sz w:val="28"/>
          <w:szCs w:val="28"/>
        </w:rPr>
        <w:instrText xml:space="preserve"> HYPERLINK "https://edesk.bli.gov.tw/aa/" </w:instrText>
      </w:r>
      <w:r w:rsidRPr="00325E81">
        <w:rPr>
          <w:rFonts w:ascii="標楷體" w:eastAsia="標楷體" w:hAnsi="標楷體"/>
          <w:sz w:val="28"/>
          <w:szCs w:val="28"/>
        </w:rPr>
        <w:fldChar w:fldCharType="separate"/>
      </w:r>
      <w:r w:rsidRPr="00325E81">
        <w:rPr>
          <w:rFonts w:ascii="標楷體" w:eastAsia="標楷體" w:hAnsi="標楷體" w:hint="eastAsia"/>
          <w:sz w:val="28"/>
          <w:szCs w:val="28"/>
        </w:rPr>
        <w:t>https://edesk.bli.gov.tw/aa/</w:t>
      </w:r>
      <w:r w:rsidRPr="00325E81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」自行上網查詢、列印繳費證明。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若為網路申辦單位，請至e化服務系統／投保單位網路申報及查詢作業／資料查詢／保險費繳費證明查詢及列印(或勞工退休金繳費證明查詢及列印)；若為個人裁減及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職災續保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>人員，請至本局e化服務系統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／個人／個人</w:t>
      </w:r>
      <w:proofErr w:type="gramEnd"/>
      <w:r w:rsidRPr="00325E81">
        <w:rPr>
          <w:rFonts w:ascii="標楷體" w:eastAsia="標楷體" w:hAnsi="標楷體" w:hint="eastAsia"/>
          <w:sz w:val="28"/>
          <w:szCs w:val="28"/>
        </w:rPr>
        <w:t xml:space="preserve">網路申報及查詢作業／繳費證明／列印個人為單位（育嬰、裁減、職災）勞工保險繳費證明 </w:t>
      </w:r>
      <w:proofErr w:type="gramStart"/>
      <w:r w:rsidRPr="00325E81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sectPr w:rsidR="00A30C43" w:rsidRPr="00325E81" w:rsidSect="007456C3">
      <w:footerReference w:type="default" r:id="rId9"/>
      <w:pgSz w:w="11906" w:h="16838"/>
      <w:pgMar w:top="851" w:right="141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7A" w:rsidRDefault="00AF757A" w:rsidP="00CF4CCC">
      <w:r>
        <w:separator/>
      </w:r>
    </w:p>
  </w:endnote>
  <w:endnote w:type="continuationSeparator" w:id="0">
    <w:p w:rsidR="00AF757A" w:rsidRDefault="00AF757A" w:rsidP="00CF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CC" w:rsidRPr="00CF4CCC" w:rsidRDefault="00BC1C5B" w:rsidP="00CF4CCC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112</w:t>
    </w:r>
    <w:r w:rsidR="00CF4CCC" w:rsidRPr="00CF4CCC">
      <w:rPr>
        <w:rFonts w:ascii="標楷體" w:eastAsia="標楷體" w:hAnsi="標楷體" w:hint="eastAsia"/>
      </w:rPr>
      <w:t>年</w:t>
    </w:r>
    <w:r w:rsidR="00B83C4A">
      <w:rPr>
        <w:rFonts w:ascii="標楷體" w:eastAsia="標楷體" w:hAnsi="標楷體" w:hint="eastAsia"/>
      </w:rPr>
      <w:t>5</w:t>
    </w:r>
    <w:r w:rsidR="00CF4CCC" w:rsidRPr="00CF4CCC">
      <w:rPr>
        <w:rFonts w:ascii="標楷體" w:eastAsia="標楷體" w:hAnsi="標楷體" w:hint="eastAsia"/>
      </w:rPr>
      <w:t>月修訂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7A" w:rsidRDefault="00AF757A" w:rsidP="00CF4CCC">
      <w:r>
        <w:separator/>
      </w:r>
    </w:p>
  </w:footnote>
  <w:footnote w:type="continuationSeparator" w:id="0">
    <w:p w:rsidR="00AF757A" w:rsidRDefault="00AF757A" w:rsidP="00CF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52D2"/>
    <w:multiLevelType w:val="multilevel"/>
    <w:tmpl w:val="B608EB8C"/>
    <w:lvl w:ilvl="0">
      <w:start w:val="1"/>
      <w:numFmt w:val="taiwaneseCountingThousand"/>
      <w:lvlText w:val="%1、"/>
      <w:lvlJc w:val="left"/>
      <w:pPr>
        <w:tabs>
          <w:tab w:val="num" w:pos="603"/>
        </w:tabs>
        <w:ind w:left="603" w:hanging="360"/>
      </w:pPr>
      <w:rPr>
        <w:rFonts w:eastAsia="標楷體" w:hint="eastAsia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323"/>
        </w:tabs>
        <w:ind w:left="1323" w:hanging="360"/>
      </w:pPr>
    </w:lvl>
    <w:lvl w:ilvl="2" w:tentative="1">
      <w:start w:val="1"/>
      <w:numFmt w:val="decimal"/>
      <w:lvlText w:val="%3."/>
      <w:lvlJc w:val="left"/>
      <w:pPr>
        <w:tabs>
          <w:tab w:val="num" w:pos="2043"/>
        </w:tabs>
        <w:ind w:left="2043" w:hanging="360"/>
      </w:pPr>
    </w:lvl>
    <w:lvl w:ilvl="3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</w:lvl>
    <w:lvl w:ilvl="4" w:tentative="1">
      <w:start w:val="1"/>
      <w:numFmt w:val="decimal"/>
      <w:lvlText w:val="%5."/>
      <w:lvlJc w:val="left"/>
      <w:pPr>
        <w:tabs>
          <w:tab w:val="num" w:pos="3483"/>
        </w:tabs>
        <w:ind w:left="3483" w:hanging="360"/>
      </w:pPr>
    </w:lvl>
    <w:lvl w:ilvl="5" w:tentative="1">
      <w:start w:val="1"/>
      <w:numFmt w:val="decimal"/>
      <w:lvlText w:val="%6."/>
      <w:lvlJc w:val="left"/>
      <w:pPr>
        <w:tabs>
          <w:tab w:val="num" w:pos="4203"/>
        </w:tabs>
        <w:ind w:left="4203" w:hanging="360"/>
      </w:pPr>
    </w:lvl>
    <w:lvl w:ilvl="6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</w:lvl>
    <w:lvl w:ilvl="7" w:tentative="1">
      <w:start w:val="1"/>
      <w:numFmt w:val="decimal"/>
      <w:lvlText w:val="%8."/>
      <w:lvlJc w:val="left"/>
      <w:pPr>
        <w:tabs>
          <w:tab w:val="num" w:pos="5643"/>
        </w:tabs>
        <w:ind w:left="5643" w:hanging="360"/>
      </w:pPr>
    </w:lvl>
    <w:lvl w:ilvl="8" w:tentative="1">
      <w:start w:val="1"/>
      <w:numFmt w:val="decimal"/>
      <w:lvlText w:val="%9."/>
      <w:lvlJc w:val="left"/>
      <w:pPr>
        <w:tabs>
          <w:tab w:val="num" w:pos="6363"/>
        </w:tabs>
        <w:ind w:left="636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8E"/>
    <w:rsid w:val="00132250"/>
    <w:rsid w:val="00186518"/>
    <w:rsid w:val="00325E81"/>
    <w:rsid w:val="0039488E"/>
    <w:rsid w:val="004E03BF"/>
    <w:rsid w:val="005371EE"/>
    <w:rsid w:val="00551E75"/>
    <w:rsid w:val="00555E02"/>
    <w:rsid w:val="00560208"/>
    <w:rsid w:val="005F37B8"/>
    <w:rsid w:val="006A76B9"/>
    <w:rsid w:val="007456C3"/>
    <w:rsid w:val="0078243F"/>
    <w:rsid w:val="007C7C8E"/>
    <w:rsid w:val="008A6556"/>
    <w:rsid w:val="00960247"/>
    <w:rsid w:val="009729CB"/>
    <w:rsid w:val="0099206D"/>
    <w:rsid w:val="00A30C43"/>
    <w:rsid w:val="00A569A0"/>
    <w:rsid w:val="00A61157"/>
    <w:rsid w:val="00AF757A"/>
    <w:rsid w:val="00B37DB1"/>
    <w:rsid w:val="00B83C4A"/>
    <w:rsid w:val="00BC1C5B"/>
    <w:rsid w:val="00C11DDD"/>
    <w:rsid w:val="00CF4CCC"/>
    <w:rsid w:val="00FA75EE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9488E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948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C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C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9488E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948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C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4772-A2B6-4BF8-8242-A0416B5B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陳慧娟</dc:creator>
  <cp:lastModifiedBy>張小姐</cp:lastModifiedBy>
  <cp:revision>3</cp:revision>
  <dcterms:created xsi:type="dcterms:W3CDTF">2023-05-29T07:34:00Z</dcterms:created>
  <dcterms:modified xsi:type="dcterms:W3CDTF">2023-05-29T07:50:00Z</dcterms:modified>
</cp:coreProperties>
</file>